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6"/>
          <w:szCs w:val="26"/>
        </w:rPr>
      </w:pPr>
      <w:r>
        <w:rPr>
          <w:rFonts w:ascii="Times New Roman" w:eastAsia="Times New Roman" w:hAnsi="Times New Roman" w:cs="Times New Roman"/>
          <w:sz w:val="26"/>
          <w:szCs w:val="26"/>
        </w:rPr>
        <w:t xml:space="preserve">Дело </w:t>
      </w:r>
      <w:r>
        <w:rPr>
          <w:rFonts w:ascii="Times New Roman" w:eastAsia="Times New Roman" w:hAnsi="Times New Roman" w:cs="Times New Roman"/>
          <w:sz w:val="26"/>
          <w:szCs w:val="26"/>
        </w:rPr>
        <w:t>05-</w:t>
      </w:r>
      <w:r>
        <w:rPr>
          <w:rFonts w:ascii="Times New Roman" w:eastAsia="Times New Roman" w:hAnsi="Times New Roman" w:cs="Times New Roman"/>
          <w:sz w:val="26"/>
          <w:szCs w:val="26"/>
        </w:rPr>
        <w:t>1726-2613</w:t>
      </w:r>
      <w:r>
        <w:rPr>
          <w:rFonts w:ascii="Times New Roman" w:eastAsia="Times New Roman" w:hAnsi="Times New Roman" w:cs="Times New Roman"/>
          <w:sz w:val="26"/>
          <w:szCs w:val="26"/>
        </w:rPr>
        <w:t>/2025</w:t>
      </w:r>
      <w:r>
        <w:rPr>
          <w:rFonts w:ascii="Times New Roman" w:eastAsia="Times New Roman" w:hAnsi="Times New Roman" w:cs="Times New Roman"/>
          <w:sz w:val="26"/>
          <w:szCs w:val="26"/>
        </w:rPr>
        <w:t xml:space="preserve">                                                                                                             </w:t>
      </w:r>
    </w:p>
    <w:p>
      <w:pPr>
        <w:spacing w:before="0" w:after="0"/>
        <w:rPr>
          <w:sz w:val="27"/>
          <w:szCs w:val="27"/>
        </w:rPr>
      </w:pPr>
    </w:p>
    <w:p>
      <w:pPr>
        <w:spacing w:before="0" w:after="0"/>
        <w:jc w:val="center"/>
        <w:rPr>
          <w:sz w:val="27"/>
          <w:szCs w:val="27"/>
        </w:rPr>
      </w:pPr>
      <w:r>
        <w:rPr>
          <w:rFonts w:ascii="Times New Roman" w:eastAsia="Times New Roman" w:hAnsi="Times New Roman" w:cs="Times New Roman"/>
          <w:sz w:val="27"/>
          <w:szCs w:val="27"/>
        </w:rPr>
        <w:t>ПОСТАНОВЛЕНИЕ</w:t>
      </w:r>
    </w:p>
    <w:p>
      <w:pPr>
        <w:spacing w:before="0" w:after="0"/>
        <w:jc w:val="center"/>
        <w:rPr>
          <w:sz w:val="27"/>
          <w:szCs w:val="27"/>
        </w:rPr>
      </w:pPr>
      <w:r>
        <w:rPr>
          <w:rFonts w:ascii="Times New Roman" w:eastAsia="Times New Roman" w:hAnsi="Times New Roman" w:cs="Times New Roman"/>
          <w:sz w:val="27"/>
          <w:szCs w:val="27"/>
        </w:rPr>
        <w:t xml:space="preserve">о назначении административного наказания </w:t>
      </w:r>
    </w:p>
    <w:p>
      <w:pPr>
        <w:spacing w:before="0" w:after="0"/>
        <w:ind w:firstLine="567"/>
        <w:rPr>
          <w:sz w:val="27"/>
          <w:szCs w:val="27"/>
        </w:rPr>
      </w:pPr>
    </w:p>
    <w:p>
      <w:pPr>
        <w:spacing w:before="0" w:after="0"/>
        <w:rPr>
          <w:sz w:val="27"/>
          <w:szCs w:val="27"/>
        </w:rPr>
      </w:pPr>
      <w:r>
        <w:rPr>
          <w:rFonts w:ascii="Times New Roman" w:eastAsia="Times New Roman" w:hAnsi="Times New Roman" w:cs="Times New Roman"/>
          <w:sz w:val="27"/>
          <w:szCs w:val="27"/>
        </w:rPr>
        <w:t>29 октября</w:t>
      </w:r>
      <w:r>
        <w:rPr>
          <w:rFonts w:ascii="Times New Roman" w:eastAsia="Times New Roman" w:hAnsi="Times New Roman" w:cs="Times New Roman"/>
          <w:sz w:val="27"/>
          <w:szCs w:val="27"/>
        </w:rPr>
        <w:t xml:space="preserve"> 2025 года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город Сургут </w:t>
      </w:r>
    </w:p>
    <w:p>
      <w:pPr>
        <w:spacing w:before="0" w:after="0"/>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 xml:space="preserve">Мировой судья судебного участка № </w:t>
      </w:r>
      <w:r>
        <w:rPr>
          <w:rFonts w:ascii="Times New Roman" w:eastAsia="Times New Roman" w:hAnsi="Times New Roman" w:cs="Times New Roman"/>
          <w:sz w:val="27"/>
          <w:szCs w:val="27"/>
        </w:rPr>
        <w:t>13</w:t>
      </w:r>
      <w:r>
        <w:rPr>
          <w:rFonts w:ascii="Times New Roman" w:eastAsia="Times New Roman" w:hAnsi="Times New Roman" w:cs="Times New Roman"/>
          <w:sz w:val="27"/>
          <w:szCs w:val="27"/>
        </w:rPr>
        <w:t xml:space="preserve"> Сургутского судебного района города окружного значения Сургута Ханты-Мансийского автономного округа – Югры </w:t>
      </w:r>
      <w:r>
        <w:rPr>
          <w:rFonts w:ascii="Times New Roman" w:eastAsia="Times New Roman" w:hAnsi="Times New Roman" w:cs="Times New Roman"/>
          <w:sz w:val="27"/>
          <w:szCs w:val="27"/>
        </w:rPr>
        <w:t>Айткулова Д.Б</w:t>
      </w:r>
      <w:r>
        <w:rPr>
          <w:rFonts w:ascii="Times New Roman" w:eastAsia="Times New Roman" w:hAnsi="Times New Roman" w:cs="Times New Roman"/>
          <w:sz w:val="27"/>
          <w:szCs w:val="27"/>
        </w:rPr>
        <w:t xml:space="preserve">., находящийся по адресу: ХМАО-Югра, г. Сургут, ул. Гагарина, д.9, каб. </w:t>
      </w:r>
      <w:r>
        <w:rPr>
          <w:rFonts w:ascii="Times New Roman" w:eastAsia="Times New Roman" w:hAnsi="Times New Roman" w:cs="Times New Roman"/>
          <w:sz w:val="27"/>
          <w:szCs w:val="27"/>
        </w:rPr>
        <w:t>502</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 xml:space="preserve">с участием должностного лица, в отношении которого ведется производство по делу об административном правонарушении, </w:t>
      </w:r>
      <w:r>
        <w:rPr>
          <w:rStyle w:val="cat-FIOgrp-30rplc-0"/>
          <w:rFonts w:ascii="Times New Roman" w:eastAsia="Times New Roman" w:hAnsi="Times New Roman" w:cs="Times New Roman"/>
          <w:sz w:val="27"/>
          <w:szCs w:val="27"/>
        </w:rPr>
        <w:t>фио</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 xml:space="preserve">старшего инспектора группы организации охраны объектов, подлежащих обязательной охране, </w:t>
      </w:r>
      <w:r>
        <w:rPr>
          <w:rFonts w:ascii="Times New Roman" w:eastAsia="Times New Roman" w:hAnsi="Times New Roman" w:cs="Times New Roman"/>
          <w:sz w:val="27"/>
          <w:szCs w:val="27"/>
        </w:rPr>
        <w:t>Сургутского</w:t>
      </w:r>
      <w:r>
        <w:rPr>
          <w:rFonts w:ascii="Times New Roman" w:eastAsia="Times New Roman" w:hAnsi="Times New Roman" w:cs="Times New Roman"/>
          <w:sz w:val="27"/>
          <w:szCs w:val="27"/>
        </w:rPr>
        <w:t xml:space="preserve"> межмуниципального отдела вневедомственной охраны – филиала </w:t>
      </w:r>
      <w:r>
        <w:rPr>
          <w:rStyle w:val="cat-OrganizationNamegrp-41rplc-1"/>
          <w:rFonts w:ascii="Times New Roman" w:eastAsia="Times New Roman" w:hAnsi="Times New Roman" w:cs="Times New Roman"/>
          <w:sz w:val="27"/>
          <w:szCs w:val="27"/>
        </w:rPr>
        <w:t>наименование организации</w:t>
      </w:r>
      <w:r>
        <w:rPr>
          <w:rFonts w:ascii="Times New Roman" w:eastAsia="Times New Roman" w:hAnsi="Times New Roman" w:cs="Times New Roman"/>
          <w:sz w:val="27"/>
          <w:szCs w:val="27"/>
        </w:rPr>
        <w:t xml:space="preserve"> Кондратьевой О.А.,</w:t>
      </w:r>
    </w:p>
    <w:p>
      <w:pPr>
        <w:spacing w:before="0" w:after="0"/>
        <w:ind w:firstLine="567"/>
        <w:jc w:val="both"/>
        <w:rPr>
          <w:sz w:val="27"/>
          <w:szCs w:val="27"/>
        </w:rPr>
      </w:pPr>
      <w:r>
        <w:rPr>
          <w:rFonts w:ascii="Times New Roman" w:eastAsia="Times New Roman" w:hAnsi="Times New Roman" w:cs="Times New Roman"/>
          <w:sz w:val="27"/>
          <w:szCs w:val="27"/>
        </w:rPr>
        <w:t xml:space="preserve">рассмотрев материалы дела об административном правонарушении, предусмотренном ч.1 ст. 20.35 Кодекса Российской Федерации об административных правонарушениях, в отношении должностного лица – директора </w:t>
      </w:r>
      <w:r>
        <w:rPr>
          <w:rStyle w:val="cat-UserDefinedgrp-51rplc-2"/>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Style w:val="cat-FIOgrp-32rplc-3"/>
          <w:rFonts w:ascii="Times New Roman" w:eastAsia="Times New Roman" w:hAnsi="Times New Roman" w:cs="Times New Roman"/>
          <w:sz w:val="27"/>
          <w:szCs w:val="27"/>
        </w:rPr>
        <w:t>фио</w:t>
      </w:r>
      <w:r>
        <w:rPr>
          <w:rFonts w:ascii="Times New Roman" w:eastAsia="Times New Roman" w:hAnsi="Times New Roman" w:cs="Times New Roman"/>
          <w:sz w:val="27"/>
          <w:szCs w:val="27"/>
        </w:rPr>
        <w:t xml:space="preserve">, </w:t>
      </w:r>
      <w:r>
        <w:rPr>
          <w:rStyle w:val="cat-ExternalSystemDefinedgrp-50rplc-4"/>
          <w:rFonts w:ascii="Times New Roman" w:eastAsia="Times New Roman" w:hAnsi="Times New Roman" w:cs="Times New Roman"/>
          <w:sz w:val="27"/>
          <w:szCs w:val="27"/>
        </w:rPr>
        <w:t>...</w:t>
      </w:r>
      <w:r>
        <w:rPr>
          <w:rStyle w:val="cat-PassportDatagrp-39rplc-5"/>
          <w:rFonts w:ascii="Times New Roman" w:eastAsia="Times New Roman" w:hAnsi="Times New Roman" w:cs="Times New Roman"/>
          <w:sz w:val="27"/>
          <w:szCs w:val="27"/>
        </w:rPr>
        <w:t>паспортные данные</w:t>
      </w:r>
      <w:r>
        <w:rPr>
          <w:rFonts w:ascii="Times New Roman" w:eastAsia="Times New Roman" w:hAnsi="Times New Roman" w:cs="Times New Roman"/>
          <w:sz w:val="27"/>
          <w:szCs w:val="27"/>
        </w:rPr>
        <w:t xml:space="preserve">, </w:t>
      </w:r>
      <w:r>
        <w:rPr>
          <w:rStyle w:val="cat-UserDefinedgrp-52rplc-6"/>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Style w:val="cat-PassportDatagrp-40rplc-7"/>
          <w:rFonts w:ascii="Times New Roman" w:eastAsia="Times New Roman" w:hAnsi="Times New Roman" w:cs="Times New Roman"/>
          <w:sz w:val="27"/>
          <w:szCs w:val="27"/>
        </w:rPr>
        <w:t>паспортные данные</w:t>
      </w:r>
      <w:r>
        <w:rPr>
          <w:rStyle w:val="cat-ExternalSystemDefinedgrp-49rplc-8"/>
          <w:rFonts w:ascii="Times New Roman" w:eastAsia="Times New Roman" w:hAnsi="Times New Roman" w:cs="Times New Roman"/>
          <w:sz w:val="27"/>
          <w:szCs w:val="27"/>
        </w:rPr>
        <w:t>...</w:t>
      </w:r>
      <w:r>
        <w:rPr>
          <w:rStyle w:val="cat-ExternalSystemDefinedgrp-48rplc-9"/>
          <w:rFonts w:ascii="Times New Roman" w:eastAsia="Times New Roman" w:hAnsi="Times New Roman" w:cs="Times New Roman"/>
          <w:sz w:val="27"/>
          <w:szCs w:val="27"/>
        </w:rPr>
        <w:t>...</w:t>
      </w:r>
      <w:r>
        <w:rPr>
          <w:rFonts w:ascii="Times New Roman" w:eastAsia="Times New Roman" w:hAnsi="Times New Roman" w:cs="Times New Roman"/>
          <w:sz w:val="27"/>
          <w:szCs w:val="27"/>
        </w:rPr>
        <w:t>,</w:t>
      </w:r>
    </w:p>
    <w:p>
      <w:pPr>
        <w:spacing w:before="0" w:after="0"/>
        <w:ind w:firstLine="567"/>
        <w:jc w:val="both"/>
        <w:rPr>
          <w:sz w:val="27"/>
          <w:szCs w:val="27"/>
        </w:rPr>
      </w:pPr>
    </w:p>
    <w:p>
      <w:pPr>
        <w:spacing w:before="0" w:after="0"/>
        <w:jc w:val="center"/>
        <w:rPr>
          <w:sz w:val="27"/>
          <w:szCs w:val="27"/>
        </w:rPr>
      </w:pPr>
      <w:r>
        <w:rPr>
          <w:rFonts w:ascii="Times New Roman" w:eastAsia="Times New Roman" w:hAnsi="Times New Roman" w:cs="Times New Roman"/>
          <w:sz w:val="27"/>
          <w:szCs w:val="27"/>
        </w:rPr>
        <w:t>УСТАНОВИЛ:</w:t>
      </w:r>
    </w:p>
    <w:p>
      <w:pPr>
        <w:spacing w:before="0" w:after="0"/>
        <w:jc w:val="center"/>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 xml:space="preserve">должностное лицо - директор МБУК «СКМ» </w:t>
      </w:r>
      <w:r>
        <w:rPr>
          <w:rStyle w:val="cat-FIOgrp-33rplc-10"/>
          <w:rFonts w:ascii="Times New Roman" w:eastAsia="Times New Roman" w:hAnsi="Times New Roman" w:cs="Times New Roman"/>
          <w:sz w:val="27"/>
          <w:szCs w:val="27"/>
        </w:rPr>
        <w:t>фио</w:t>
      </w:r>
      <w:r>
        <w:rPr>
          <w:rFonts w:ascii="Times New Roman" w:eastAsia="Times New Roman" w:hAnsi="Times New Roman" w:cs="Times New Roman"/>
          <w:sz w:val="27"/>
          <w:szCs w:val="27"/>
        </w:rPr>
        <w:t xml:space="preserve">, 24 августа 2025 года в 00 часов 01 минуту, находясь по адресу: г. Сургут, ул. 30 лет Победы, д. 21/2, не предприняла все зависящие от нее меры по соблюдению исполнения законодательства в области обеспечения антитеррористической защищенности объекта Музейный центр, расположенного по адресу: г. Сургут, ул. 30 лет Победы, д. 21/2, а следовательно, совершила административное правонарушение, ответственность за которое предусмотрена частью 1 статьи 20.35 Кодекса Российской Федерации об административных правонарушениях - нарушение требований к антитеррористической защищенности объектов (территорий), за исключением случаев, предусмотренных частью 2 статьи 20.35, статьями 11.15.1 и 20.30 КоАП РФ, если эти действия не содержат признаков уголовно наказуемого деяния, выразившееся в форме бездействия в виде неисполнения п. 43 ПП 176, а именно в нарушении срока согласования паспорта безопасности объекта Музейный центр, расположенного по адресу: г. Сургут, ул. 30 лет Победы, д. 21/2. Действие (бездействие) директора </w:t>
      </w:r>
      <w:r>
        <w:rPr>
          <w:rStyle w:val="cat-FIOgrp-32rplc-11"/>
          <w:rFonts w:ascii="Times New Roman" w:eastAsia="Times New Roman" w:hAnsi="Times New Roman" w:cs="Times New Roman"/>
          <w:sz w:val="27"/>
          <w:szCs w:val="27"/>
        </w:rPr>
        <w:t>фио</w:t>
      </w:r>
      <w:r>
        <w:rPr>
          <w:rFonts w:ascii="Times New Roman" w:eastAsia="Times New Roman" w:hAnsi="Times New Roman" w:cs="Times New Roman"/>
          <w:sz w:val="27"/>
          <w:szCs w:val="27"/>
        </w:rPr>
        <w:t xml:space="preserve"> не относятся к случаям, предусмотренным ч. 2 ст. 20.35 КоАП РФ, статьям 11.15.1 и 20.30 КоАП РФ, и не содержат признаков уголовно наказуемого деяния.</w:t>
      </w:r>
    </w:p>
    <w:p>
      <w:pPr>
        <w:spacing w:before="0" w:after="0"/>
        <w:ind w:firstLine="709"/>
        <w:jc w:val="both"/>
        <w:rPr>
          <w:sz w:val="27"/>
          <w:szCs w:val="27"/>
        </w:rPr>
      </w:pPr>
      <w:r>
        <w:rPr>
          <w:rFonts w:ascii="Times New Roman" w:eastAsia="Times New Roman" w:hAnsi="Times New Roman" w:cs="Times New Roman"/>
          <w:sz w:val="27"/>
          <w:szCs w:val="27"/>
        </w:rPr>
        <w:t>Селянина М.Ю</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 судебном заседании вину в совершении административного правонарушения признала, ходатайств не заявляла.</w:t>
      </w:r>
    </w:p>
    <w:p>
      <w:pPr>
        <w:spacing w:before="0" w:after="0"/>
        <w:ind w:firstLine="709"/>
        <w:jc w:val="both"/>
        <w:rPr>
          <w:sz w:val="27"/>
          <w:szCs w:val="27"/>
        </w:rPr>
      </w:pPr>
      <w:r>
        <w:rPr>
          <w:rFonts w:ascii="Times New Roman" w:eastAsia="Times New Roman" w:hAnsi="Times New Roman" w:cs="Times New Roman"/>
          <w:sz w:val="27"/>
          <w:szCs w:val="27"/>
        </w:rPr>
        <w:t xml:space="preserve">Представитель административного органа </w:t>
      </w:r>
      <w:r>
        <w:rPr>
          <w:rFonts w:ascii="Times New Roman" w:eastAsia="Times New Roman" w:hAnsi="Times New Roman" w:cs="Times New Roman"/>
          <w:sz w:val="27"/>
          <w:szCs w:val="27"/>
        </w:rPr>
        <w:t>старш</w:t>
      </w:r>
      <w:r>
        <w:rPr>
          <w:rFonts w:ascii="Times New Roman" w:eastAsia="Times New Roman" w:hAnsi="Times New Roman" w:cs="Times New Roman"/>
          <w:sz w:val="27"/>
          <w:szCs w:val="27"/>
        </w:rPr>
        <w:t>ий</w:t>
      </w:r>
      <w:r>
        <w:rPr>
          <w:rFonts w:ascii="Times New Roman" w:eastAsia="Times New Roman" w:hAnsi="Times New Roman" w:cs="Times New Roman"/>
          <w:sz w:val="27"/>
          <w:szCs w:val="27"/>
        </w:rPr>
        <w:t xml:space="preserve"> инспектор группы организации охраны объектов, подлежащих обязательной охране, </w:t>
      </w:r>
      <w:r>
        <w:rPr>
          <w:rFonts w:ascii="Times New Roman" w:eastAsia="Times New Roman" w:hAnsi="Times New Roman" w:cs="Times New Roman"/>
          <w:sz w:val="27"/>
          <w:szCs w:val="27"/>
        </w:rPr>
        <w:t>Сургутского</w:t>
      </w:r>
      <w:r>
        <w:rPr>
          <w:rFonts w:ascii="Times New Roman" w:eastAsia="Times New Roman" w:hAnsi="Times New Roman" w:cs="Times New Roman"/>
          <w:sz w:val="27"/>
          <w:szCs w:val="27"/>
        </w:rPr>
        <w:t xml:space="preserve"> межмуниципального отдела вневедомственной охраны – филиала </w:t>
      </w:r>
      <w:r>
        <w:rPr>
          <w:rStyle w:val="cat-OrganizationNamegrp-41rplc-12"/>
          <w:rFonts w:ascii="Times New Roman" w:eastAsia="Times New Roman" w:hAnsi="Times New Roman" w:cs="Times New Roman"/>
          <w:sz w:val="27"/>
          <w:szCs w:val="27"/>
        </w:rPr>
        <w:t>наименование организации</w:t>
      </w:r>
      <w:r>
        <w:rPr>
          <w:rFonts w:ascii="Times New Roman" w:eastAsia="Times New Roman" w:hAnsi="Times New Roman" w:cs="Times New Roman"/>
          <w:sz w:val="27"/>
          <w:szCs w:val="27"/>
        </w:rPr>
        <w:t xml:space="preserve"> Кондратьев</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О.А.</w:t>
      </w:r>
      <w:r>
        <w:rPr>
          <w:rFonts w:ascii="Times New Roman" w:eastAsia="Times New Roman" w:hAnsi="Times New Roman" w:cs="Times New Roman"/>
          <w:sz w:val="27"/>
          <w:szCs w:val="27"/>
        </w:rPr>
        <w:t xml:space="preserve"> доводы, изложенные </w:t>
      </w:r>
      <w:r>
        <w:rPr>
          <w:rFonts w:ascii="Times New Roman" w:eastAsia="Times New Roman" w:hAnsi="Times New Roman" w:cs="Times New Roman"/>
          <w:sz w:val="27"/>
          <w:szCs w:val="27"/>
        </w:rPr>
        <w:t>в протоколе</w:t>
      </w:r>
      <w:r>
        <w:rPr>
          <w:rFonts w:ascii="Times New Roman" w:eastAsia="Times New Roman" w:hAnsi="Times New Roman" w:cs="Times New Roman"/>
          <w:sz w:val="27"/>
          <w:szCs w:val="27"/>
        </w:rPr>
        <w:t xml:space="preserve"> поддержала в полном объеме, ходатайств не заявляла.</w:t>
      </w:r>
    </w:p>
    <w:p>
      <w:pPr>
        <w:spacing w:before="0" w:after="0"/>
        <w:ind w:firstLine="709"/>
        <w:jc w:val="both"/>
        <w:rPr>
          <w:sz w:val="27"/>
          <w:szCs w:val="27"/>
        </w:rPr>
      </w:pPr>
      <w:r>
        <w:rPr>
          <w:rFonts w:ascii="Times New Roman" w:eastAsia="Times New Roman" w:hAnsi="Times New Roman" w:cs="Times New Roman"/>
          <w:sz w:val="27"/>
          <w:szCs w:val="27"/>
        </w:rPr>
        <w:t xml:space="preserve">Изучив материалы дела, выслушав доводы </w:t>
      </w:r>
      <w:r>
        <w:rPr>
          <w:rFonts w:ascii="Times New Roman" w:eastAsia="Times New Roman" w:hAnsi="Times New Roman" w:cs="Times New Roman"/>
          <w:sz w:val="27"/>
          <w:szCs w:val="27"/>
        </w:rPr>
        <w:t>участников судебного заседания</w:t>
      </w:r>
      <w:r>
        <w:rPr>
          <w:rFonts w:ascii="Times New Roman" w:eastAsia="Times New Roman" w:hAnsi="Times New Roman" w:cs="Times New Roman"/>
          <w:sz w:val="27"/>
          <w:szCs w:val="27"/>
        </w:rPr>
        <w:t>, мировой судья пришел к следующим выводам.</w:t>
      </w:r>
    </w:p>
    <w:p>
      <w:pPr>
        <w:spacing w:before="0" w:after="0"/>
        <w:ind w:firstLine="709"/>
        <w:jc w:val="both"/>
        <w:rPr>
          <w:sz w:val="27"/>
          <w:szCs w:val="27"/>
        </w:rPr>
      </w:pPr>
      <w:r>
        <w:rPr>
          <w:rFonts w:ascii="Times New Roman" w:eastAsia="Times New Roman" w:hAnsi="Times New Roman" w:cs="Times New Roman"/>
          <w:sz w:val="27"/>
          <w:szCs w:val="27"/>
        </w:rPr>
        <w:t xml:space="preserve">Согласно </w:t>
      </w:r>
      <w:r>
        <w:rPr>
          <w:rFonts w:ascii="Times New Roman" w:eastAsia="Times New Roman" w:hAnsi="Times New Roman" w:cs="Times New Roman"/>
          <w:sz w:val="27"/>
          <w:szCs w:val="27"/>
        </w:rPr>
        <w:t>требованиям</w:t>
      </w:r>
      <w:r>
        <w:rPr>
          <w:rFonts w:ascii="Times New Roman" w:eastAsia="Times New Roman" w:hAnsi="Times New Roman" w:cs="Times New Roman"/>
          <w:sz w:val="27"/>
          <w:szCs w:val="27"/>
        </w:rPr>
        <w:t xml:space="preserve"> п. З ПП 176, ответственность за обеспечение антитеррористической защищенности объектов (территорий) возлагается на руководителей органов (организаций) в сфере культуры, являющихся правообладателями объектов (территорий), а также на должностных лиц, осуществляющих непосредственное руководство деятельностью работников объектов (территорий).</w:t>
      </w:r>
    </w:p>
    <w:p>
      <w:pPr>
        <w:spacing w:before="0" w:after="0"/>
        <w:ind w:firstLine="709"/>
        <w:jc w:val="both"/>
        <w:rPr>
          <w:sz w:val="27"/>
          <w:szCs w:val="27"/>
        </w:rPr>
      </w:pPr>
      <w:r>
        <w:rPr>
          <w:rFonts w:ascii="Times New Roman" w:eastAsia="Times New Roman" w:hAnsi="Times New Roman" w:cs="Times New Roman"/>
          <w:sz w:val="27"/>
          <w:szCs w:val="27"/>
        </w:rPr>
        <w:t>Согласно п. 5 ПП 176 в целях установления дифференцированных требований к антитеррористической защищенности объектов (территорий) с учетом возможных последствий совершения террористического акта проводится категорирование объектов (территорий).</w:t>
      </w:r>
    </w:p>
    <w:p>
      <w:pPr>
        <w:spacing w:before="0" w:after="0"/>
        <w:ind w:firstLine="709"/>
        <w:jc w:val="both"/>
        <w:rPr>
          <w:sz w:val="27"/>
          <w:szCs w:val="27"/>
        </w:rPr>
      </w:pPr>
      <w:r>
        <w:rPr>
          <w:rFonts w:ascii="Times New Roman" w:eastAsia="Times New Roman" w:hAnsi="Times New Roman" w:cs="Times New Roman"/>
          <w:sz w:val="27"/>
          <w:szCs w:val="27"/>
        </w:rPr>
        <w:t>В соответствии с п. 18 ПП 176 результаты работы комиссии оформляются актом обследования и категорирования объекта (территории), который является неотъемлемой частью паспорта безопасности объекта (территории). Акт обследования и категорирования объекта (территории) составляется в 2 экземплярах, подписывается всеми членами комиссии и хранится вместе с первым экземпляром паспорта безопасности объекта (территории).</w:t>
      </w:r>
    </w:p>
    <w:p>
      <w:pPr>
        <w:spacing w:before="0" w:after="0"/>
        <w:ind w:firstLine="709"/>
        <w:jc w:val="both"/>
        <w:rPr>
          <w:sz w:val="27"/>
          <w:szCs w:val="27"/>
        </w:rPr>
      </w:pPr>
      <w:r>
        <w:rPr>
          <w:rFonts w:ascii="Times New Roman" w:eastAsia="Times New Roman" w:hAnsi="Times New Roman" w:cs="Times New Roman"/>
          <w:sz w:val="27"/>
          <w:szCs w:val="27"/>
        </w:rPr>
        <w:t>10 июля 2025 года на основании поступившего письма (вх.1802 от 06.06.2025 г.), в рамках актуализации паспорта безопасности, проведено комиссионное обследование объекта Музейный центр МБУК «СКМ», расположенного по адресу: г. Сургут, ул. 30 лет Победы, д. 21/2, объекту присвоена 2 категория. Акт обследования датирован 18 июля 2025 года, согласован всеми членами комиссии.</w:t>
      </w:r>
    </w:p>
    <w:p>
      <w:pPr>
        <w:spacing w:before="0" w:after="0"/>
        <w:ind w:firstLine="709"/>
        <w:jc w:val="both"/>
        <w:rPr>
          <w:sz w:val="27"/>
          <w:szCs w:val="27"/>
        </w:rPr>
      </w:pPr>
      <w:r>
        <w:rPr>
          <w:rFonts w:ascii="Times New Roman" w:eastAsia="Times New Roman" w:hAnsi="Times New Roman" w:cs="Times New Roman"/>
          <w:sz w:val="27"/>
          <w:szCs w:val="27"/>
        </w:rPr>
        <w:t xml:space="preserve">Паспорт безопасности объекта Музейный центр МБУК «СКМ» составлен 24 июля 2025 года. Таким образом паспорт безопасности должен быть согласован в срок не позднее 23 августа 2025 года. В адрес </w:t>
      </w:r>
      <w:r>
        <w:rPr>
          <w:rFonts w:ascii="Times New Roman" w:eastAsia="Times New Roman" w:hAnsi="Times New Roman" w:cs="Times New Roman"/>
          <w:sz w:val="27"/>
          <w:szCs w:val="27"/>
        </w:rPr>
        <w:t>Сургутского</w:t>
      </w:r>
      <w:r>
        <w:rPr>
          <w:rFonts w:ascii="Times New Roman" w:eastAsia="Times New Roman" w:hAnsi="Times New Roman" w:cs="Times New Roman"/>
          <w:sz w:val="27"/>
          <w:szCs w:val="27"/>
        </w:rPr>
        <w:t xml:space="preserve"> МОВО паспорт безопасности для согласования впервые поступил 28 июля 2025 года (</w:t>
      </w:r>
      <w:r>
        <w:rPr>
          <w:rFonts w:ascii="Times New Roman" w:eastAsia="Times New Roman" w:hAnsi="Times New Roman" w:cs="Times New Roman"/>
          <w:sz w:val="27"/>
          <w:szCs w:val="27"/>
        </w:rPr>
        <w:t>вх</w:t>
      </w:r>
      <w:r>
        <w:rPr>
          <w:rFonts w:ascii="Times New Roman" w:eastAsia="Times New Roman" w:hAnsi="Times New Roman" w:cs="Times New Roman"/>
          <w:sz w:val="27"/>
          <w:szCs w:val="27"/>
        </w:rPr>
        <w:t xml:space="preserve">. 367дсп), возвращен на доработку 30.07.2025 (исх. 64511/8-285 </w:t>
      </w:r>
      <w:r>
        <w:rPr>
          <w:rFonts w:ascii="Times New Roman" w:eastAsia="Times New Roman" w:hAnsi="Times New Roman" w:cs="Times New Roman"/>
          <w:sz w:val="27"/>
          <w:szCs w:val="27"/>
        </w:rPr>
        <w:t>дсп</w:t>
      </w:r>
      <w:r>
        <w:rPr>
          <w:rFonts w:ascii="Times New Roman" w:eastAsia="Times New Roman" w:hAnsi="Times New Roman" w:cs="Times New Roman"/>
          <w:sz w:val="27"/>
          <w:szCs w:val="27"/>
        </w:rPr>
        <w:t xml:space="preserve">), получен правообладателем 31.07.2025 г. Повторно паспорт безопасности на согласование в </w:t>
      </w:r>
      <w:r>
        <w:rPr>
          <w:rFonts w:ascii="Times New Roman" w:eastAsia="Times New Roman" w:hAnsi="Times New Roman" w:cs="Times New Roman"/>
          <w:sz w:val="27"/>
          <w:szCs w:val="27"/>
        </w:rPr>
        <w:t>Сургутский</w:t>
      </w:r>
      <w:r>
        <w:rPr>
          <w:rFonts w:ascii="Times New Roman" w:eastAsia="Times New Roman" w:hAnsi="Times New Roman" w:cs="Times New Roman"/>
          <w:sz w:val="27"/>
          <w:szCs w:val="27"/>
        </w:rPr>
        <w:t xml:space="preserve"> МОВО поступил лишь </w:t>
      </w:r>
      <w:r>
        <w:rPr>
          <w:rStyle w:val="cat-Dategrp-19rplc-13"/>
          <w:rFonts w:ascii="Times New Roman" w:eastAsia="Times New Roman" w:hAnsi="Times New Roman" w:cs="Times New Roman"/>
          <w:sz w:val="27"/>
          <w:szCs w:val="27"/>
        </w:rPr>
        <w:t>дата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вх</w:t>
      </w:r>
      <w:r>
        <w:rPr>
          <w:rFonts w:ascii="Times New Roman" w:eastAsia="Times New Roman" w:hAnsi="Times New Roman" w:cs="Times New Roman"/>
          <w:sz w:val="27"/>
          <w:szCs w:val="27"/>
        </w:rPr>
        <w:t xml:space="preserve">. 429дсп). С руководителями иных согласующих органов паспорт безопасности, до его поступления в </w:t>
      </w:r>
      <w:r>
        <w:rPr>
          <w:rFonts w:ascii="Times New Roman" w:eastAsia="Times New Roman" w:hAnsi="Times New Roman" w:cs="Times New Roman"/>
          <w:sz w:val="27"/>
          <w:szCs w:val="27"/>
        </w:rPr>
        <w:t>Сургутский</w:t>
      </w:r>
      <w:r>
        <w:rPr>
          <w:rFonts w:ascii="Times New Roman" w:eastAsia="Times New Roman" w:hAnsi="Times New Roman" w:cs="Times New Roman"/>
          <w:sz w:val="27"/>
          <w:szCs w:val="27"/>
        </w:rPr>
        <w:t xml:space="preserve"> МОВО, согласован не был, то есть мер по своевременной доработке паспорта безопасности и его согласованию в установленных срок принято не было. Таким образом 30-дневный срок согласования паспорта безопасности нарушен, что свидетельствует о нарушении п.43 ПП 176.</w:t>
      </w:r>
    </w:p>
    <w:p>
      <w:pPr>
        <w:spacing w:before="0" w:after="0"/>
        <w:ind w:firstLine="709"/>
        <w:jc w:val="both"/>
        <w:rPr>
          <w:sz w:val="27"/>
          <w:szCs w:val="27"/>
        </w:rPr>
      </w:pPr>
      <w:r>
        <w:rPr>
          <w:rFonts w:ascii="Times New Roman" w:eastAsia="Times New Roman" w:hAnsi="Times New Roman" w:cs="Times New Roman"/>
          <w:sz w:val="27"/>
          <w:szCs w:val="27"/>
        </w:rPr>
        <w:t xml:space="preserve">Невыполнение требований к антитеррористической защищенности объекта свидетельствует о нарушении законодательства о противодействии </w:t>
      </w:r>
      <w:r>
        <w:rPr>
          <w:rFonts w:ascii="Times New Roman" w:eastAsia="Times New Roman" w:hAnsi="Times New Roman" w:cs="Times New Roman"/>
          <w:sz w:val="27"/>
          <w:szCs w:val="27"/>
        </w:rPr>
        <w:t>терроризму, создает угрозу жизни и здоровью неопределенного круга лиц, невозможность своевременного предупреждения и устранения последствий совершения террористического акта, противоречит охраняемым законом интересам общества и государства.</w:t>
      </w:r>
    </w:p>
    <w:p>
      <w:pPr>
        <w:spacing w:before="0" w:after="0"/>
        <w:ind w:firstLine="709"/>
        <w:jc w:val="both"/>
        <w:rPr>
          <w:sz w:val="27"/>
          <w:szCs w:val="27"/>
        </w:rPr>
      </w:pPr>
      <w:r>
        <w:rPr>
          <w:rFonts w:ascii="Times New Roman" w:eastAsia="Times New Roman" w:hAnsi="Times New Roman" w:cs="Times New Roman"/>
          <w:sz w:val="27"/>
          <w:szCs w:val="27"/>
        </w:rPr>
        <w:t xml:space="preserve">Правообладателем объекта Музейный центр, расположенного по адресу: г. Сургут, ул. 30 лет Победы, д. 21/2, является МБУК «СКМ», руководство которым осуществляет директор </w:t>
      </w:r>
      <w:r>
        <w:rPr>
          <w:rStyle w:val="cat-FIOgrp-33rplc-14"/>
          <w:rFonts w:ascii="Times New Roman" w:eastAsia="Times New Roman" w:hAnsi="Times New Roman" w:cs="Times New Roman"/>
          <w:sz w:val="27"/>
          <w:szCs w:val="27"/>
        </w:rPr>
        <w:t>фио</w:t>
      </w:r>
      <w:r>
        <w:rPr>
          <w:rFonts w:ascii="Times New Roman" w:eastAsia="Times New Roman" w:hAnsi="Times New Roman" w:cs="Times New Roman"/>
          <w:sz w:val="27"/>
          <w:szCs w:val="27"/>
        </w:rPr>
        <w:t>.</w:t>
      </w:r>
    </w:p>
    <w:p>
      <w:pPr>
        <w:spacing w:before="0" w:after="0"/>
        <w:ind w:firstLine="709"/>
        <w:jc w:val="both"/>
        <w:rPr>
          <w:sz w:val="27"/>
          <w:szCs w:val="27"/>
        </w:rPr>
      </w:pPr>
      <w:r>
        <w:rPr>
          <w:rFonts w:ascii="Times New Roman" w:eastAsia="Times New Roman" w:hAnsi="Times New Roman" w:cs="Times New Roman"/>
          <w:sz w:val="27"/>
          <w:szCs w:val="27"/>
        </w:rPr>
        <w:t xml:space="preserve">В соответствии с приказом Департамента культуры, молодежной политики и спорта Администрации города культуры № 26-к от 05 февраля 1998 года на должность директора </w:t>
      </w:r>
      <w:r>
        <w:rPr>
          <w:rFonts w:ascii="Times New Roman" w:eastAsia="Times New Roman" w:hAnsi="Times New Roman" w:cs="Times New Roman"/>
          <w:sz w:val="27"/>
          <w:szCs w:val="27"/>
        </w:rPr>
        <w:t>Сургутского</w:t>
      </w:r>
      <w:r>
        <w:rPr>
          <w:rFonts w:ascii="Times New Roman" w:eastAsia="Times New Roman" w:hAnsi="Times New Roman" w:cs="Times New Roman"/>
          <w:sz w:val="27"/>
          <w:szCs w:val="27"/>
        </w:rPr>
        <w:t xml:space="preserve"> краеведческого музея с 12 февраля 1998 года назначена </w:t>
      </w:r>
      <w:r>
        <w:rPr>
          <w:rStyle w:val="cat-FIOgrp-33rplc-15"/>
          <w:rFonts w:ascii="Times New Roman" w:eastAsia="Times New Roman" w:hAnsi="Times New Roman" w:cs="Times New Roman"/>
          <w:sz w:val="27"/>
          <w:szCs w:val="27"/>
        </w:rPr>
        <w:t>фио</w:t>
      </w:r>
      <w:r>
        <w:rPr>
          <w:rFonts w:ascii="Times New Roman" w:eastAsia="Times New Roman" w:hAnsi="Times New Roman" w:cs="Times New Roman"/>
          <w:sz w:val="27"/>
          <w:szCs w:val="27"/>
        </w:rPr>
        <w:t>, полномочия которой определены Уставом МБУК «СКМ» и трудовым договором б/н от 20.03.2002 г. в редакции дополнительного соглашения № 535 от 31.12.2013 г. на неопределенный срок.</w:t>
      </w:r>
    </w:p>
    <w:p>
      <w:pPr>
        <w:spacing w:before="0" w:after="0"/>
        <w:ind w:firstLine="709"/>
        <w:jc w:val="both"/>
        <w:rPr>
          <w:sz w:val="27"/>
          <w:szCs w:val="27"/>
        </w:rPr>
      </w:pPr>
      <w:r>
        <w:rPr>
          <w:rFonts w:ascii="Times New Roman" w:eastAsia="Times New Roman" w:hAnsi="Times New Roman" w:cs="Times New Roman"/>
          <w:sz w:val="27"/>
          <w:szCs w:val="27"/>
        </w:rPr>
        <w:t>Согласно раздела VI Устава МБУК «СКМ» непосредственное управление учреждением осуществляет директор, который без доверенности действует от имени учреждения, представляет его интересы, заключает от имени учреждения договоры, имеет право подписи всех документов, утверждает структуру учреждения, штатное расписание, положение об оплате труда, о выплатах социального характера, выплатах</w:t>
      </w:r>
      <w:r>
        <w:rPr>
          <w:rFonts w:ascii="Times New Roman" w:eastAsia="Times New Roman" w:hAnsi="Times New Roman" w:cs="Times New Roman"/>
        </w:rPr>
        <w:t xml:space="preserve"> </w:t>
      </w:r>
      <w:r>
        <w:rPr>
          <w:rFonts w:ascii="Times New Roman" w:eastAsia="Times New Roman" w:hAnsi="Times New Roman" w:cs="Times New Roman"/>
          <w:sz w:val="27"/>
          <w:szCs w:val="27"/>
        </w:rPr>
        <w:t>стимулирующего характера, осуществляет прием на работу работников, заключение и расторжение с ними трудовых договоров, распределение должностных обязанностей, издает приказы и распоряжения, дает указания, обязательные для исполнения всеми работниками, то есть выполняет организационно-распорядительные и административно-хозяйственные функции. В соответствии с разделом 3 должностной инструкции директора учреждения, утвержденной 30.09.2024 г., директор осуществляет руководство творческой, хозяйственно-эксплуатационной и финансово-экономической деятельностью учреждения. В соответствии с разделом 5 должностной инструкции, директор несет ответственность в соответствии с действующим законодательством за не обеспечение комплексной безопасности учреждения (нарушение требований антитеррористической защищенности объекта, правил пожарной безопасности, электробезопасности, охраны труда и содержание зданий, сооружений); за жизнь и здоровье работников учреждения; за невыполнение комплекса мероприятий, направленных на обеспечение антитеррористической безопасности работников, комплексной безопасности учреждений; за действия (бездействие) свои и своих подчиненных, нарушающие права и законные интересы граждан и юридических лиц.</w:t>
      </w:r>
    </w:p>
    <w:p>
      <w:pPr>
        <w:spacing w:before="0" w:after="0"/>
        <w:ind w:firstLine="709"/>
        <w:jc w:val="both"/>
        <w:rPr>
          <w:sz w:val="27"/>
          <w:szCs w:val="27"/>
        </w:rPr>
      </w:pPr>
      <w:r>
        <w:rPr>
          <w:rFonts w:ascii="Times New Roman" w:eastAsia="Times New Roman" w:hAnsi="Times New Roman" w:cs="Times New Roman"/>
          <w:sz w:val="27"/>
          <w:szCs w:val="27"/>
        </w:rPr>
        <w:t>В соответствии со статьей 1 Федерального закона от 6 марта 2006 года № 35-ФЗ «О противодействии терроризму», правовую основу противодействия терроризму составляют Конституция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pPr>
        <w:spacing w:before="0" w:after="0"/>
        <w:ind w:firstLine="709"/>
        <w:jc w:val="both"/>
        <w:rPr>
          <w:sz w:val="27"/>
          <w:szCs w:val="27"/>
        </w:rPr>
      </w:pPr>
      <w:r>
        <w:rPr>
          <w:rFonts w:ascii="Times New Roman" w:eastAsia="Times New Roman" w:hAnsi="Times New Roman" w:cs="Times New Roman"/>
          <w:sz w:val="27"/>
          <w:szCs w:val="27"/>
        </w:rPr>
        <w:t>Согласно п. 4 ст. 3 Федерального закона от 06.03.2006 № 35-ФЗ «О противодействии терроризму», противодействие терроризму это деятельность органов государственной власти и органов местного самоуправления, а также физических и юридических лиц по:</w:t>
      </w:r>
    </w:p>
    <w:p>
      <w:pPr>
        <w:spacing w:before="0" w:after="0"/>
        <w:ind w:firstLine="709"/>
        <w:jc w:val="both"/>
        <w:rPr>
          <w:sz w:val="27"/>
          <w:szCs w:val="27"/>
        </w:rPr>
      </w:pPr>
      <w:r>
        <w:rPr>
          <w:rFonts w:ascii="Times New Roman" w:eastAsia="Times New Roman" w:hAnsi="Times New Roman" w:cs="Times New Roman"/>
          <w:sz w:val="27"/>
          <w:szCs w:val="27"/>
        </w:rP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pPr>
        <w:spacing w:before="0" w:after="0"/>
        <w:ind w:firstLine="709"/>
        <w:jc w:val="both"/>
        <w:rPr>
          <w:sz w:val="27"/>
          <w:szCs w:val="27"/>
        </w:rPr>
      </w:pPr>
      <w:r>
        <w:rPr>
          <w:rFonts w:ascii="Times New Roman" w:eastAsia="Times New Roman" w:hAnsi="Times New Roman" w:cs="Times New Roman"/>
          <w:sz w:val="27"/>
          <w:szCs w:val="27"/>
        </w:rPr>
        <w:t>б) выявлению, предупреждению, пресечению, раскрытию и расследованию террористического акта (борьба с терроризмом);</w:t>
      </w:r>
    </w:p>
    <w:p>
      <w:pPr>
        <w:spacing w:before="0" w:after="0"/>
        <w:ind w:firstLine="709"/>
        <w:jc w:val="both"/>
        <w:rPr>
          <w:sz w:val="27"/>
          <w:szCs w:val="27"/>
        </w:rPr>
      </w:pPr>
      <w:r>
        <w:rPr>
          <w:rFonts w:ascii="Times New Roman" w:eastAsia="Times New Roman" w:hAnsi="Times New Roman" w:cs="Times New Roman"/>
          <w:sz w:val="27"/>
          <w:szCs w:val="27"/>
        </w:rPr>
        <w:t>в) минимизации и (или) ликвидации последствий проявлений терроризма.</w:t>
      </w:r>
    </w:p>
    <w:p>
      <w:pPr>
        <w:spacing w:before="0" w:after="0"/>
        <w:ind w:firstLine="709"/>
        <w:jc w:val="both"/>
        <w:rPr>
          <w:sz w:val="27"/>
          <w:szCs w:val="27"/>
        </w:rPr>
      </w:pPr>
      <w:r>
        <w:rPr>
          <w:rFonts w:ascii="Times New Roman" w:eastAsia="Times New Roman" w:hAnsi="Times New Roman" w:cs="Times New Roman"/>
          <w:sz w:val="27"/>
          <w:szCs w:val="27"/>
        </w:rPr>
        <w:t>В силу п.6 ст.3 Федерального закона от 06.03.2006 № 35-ФЗ «О противодействии терроризму»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w:t>
      </w:r>
    </w:p>
    <w:p>
      <w:pPr>
        <w:spacing w:before="0" w:after="0"/>
        <w:ind w:firstLine="709"/>
        <w:jc w:val="both"/>
        <w:rPr>
          <w:sz w:val="27"/>
          <w:szCs w:val="27"/>
        </w:rPr>
      </w:pPr>
      <w:r>
        <w:rPr>
          <w:rFonts w:ascii="Times New Roman" w:eastAsia="Times New Roman" w:hAnsi="Times New Roman" w:cs="Times New Roman"/>
          <w:sz w:val="27"/>
          <w:szCs w:val="27"/>
        </w:rPr>
        <w:t>Согласно п. 11 Концепции противодействия терроризму в Российской Федерации, утвержденной Президентом РФ 05.10.2009, одной из основных задач противодействия терроризму является обеспечение безопасности граждан и антитеррористической защищенности потенциальных объектов террористических посягательств, в том числе объектов с массовым пребыванием людей.</w:t>
      </w:r>
    </w:p>
    <w:p>
      <w:pPr>
        <w:spacing w:before="0" w:after="0"/>
        <w:ind w:firstLine="567"/>
        <w:jc w:val="both"/>
        <w:rPr>
          <w:sz w:val="27"/>
          <w:szCs w:val="27"/>
        </w:rPr>
      </w:pPr>
      <w:r>
        <w:rPr>
          <w:rFonts w:ascii="Times New Roman" w:eastAsia="Times New Roman" w:hAnsi="Times New Roman" w:cs="Times New Roman"/>
          <w:sz w:val="27"/>
          <w:szCs w:val="27"/>
        </w:rPr>
        <w:t xml:space="preserve">Вина лица, привлекаемого к административной ответственности, подтверждается следующими документами: </w:t>
      </w:r>
    </w:p>
    <w:p>
      <w:pPr>
        <w:spacing w:before="0" w:after="0"/>
        <w:ind w:firstLine="567"/>
        <w:jc w:val="both"/>
        <w:rPr>
          <w:sz w:val="27"/>
          <w:szCs w:val="27"/>
        </w:rPr>
      </w:pPr>
      <w:r>
        <w:rPr>
          <w:rFonts w:ascii="Times New Roman" w:eastAsia="Times New Roman" w:hAnsi="Times New Roman" w:cs="Times New Roman"/>
          <w:sz w:val="27"/>
          <w:szCs w:val="27"/>
        </w:rPr>
        <w:t>-протоколом</w:t>
      </w:r>
      <w:r>
        <w:rPr>
          <w:rFonts w:ascii="Times New Roman" w:eastAsia="Times New Roman" w:hAnsi="Times New Roman" w:cs="Times New Roman"/>
          <w:sz w:val="27"/>
          <w:szCs w:val="27"/>
        </w:rPr>
        <w:t xml:space="preserve"> об административном правонарушении от </w:t>
      </w:r>
      <w:r>
        <w:rPr>
          <w:rFonts w:ascii="Times New Roman" w:eastAsia="Times New Roman" w:hAnsi="Times New Roman" w:cs="Times New Roman"/>
          <w:sz w:val="27"/>
          <w:szCs w:val="27"/>
        </w:rPr>
        <w:t>29.09.2025</w:t>
      </w:r>
      <w:r>
        <w:rPr>
          <w:rFonts w:ascii="Times New Roman" w:eastAsia="Times New Roman" w:hAnsi="Times New Roman" w:cs="Times New Roman"/>
          <w:sz w:val="27"/>
          <w:szCs w:val="27"/>
        </w:rPr>
        <w:t xml:space="preserve"> г.</w:t>
      </w:r>
      <w:r>
        <w:rPr>
          <w:rFonts w:ascii="Times New Roman" w:eastAsia="Times New Roman" w:hAnsi="Times New Roman" w:cs="Times New Roman"/>
          <w:sz w:val="27"/>
          <w:szCs w:val="27"/>
        </w:rPr>
        <w:t xml:space="preserve"> № 860В0115290925000012</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копией рапорта об обнаружении признаков правонарушения;</w:t>
      </w:r>
    </w:p>
    <w:p>
      <w:pPr>
        <w:spacing w:before="0" w:after="0"/>
        <w:ind w:firstLine="567"/>
        <w:jc w:val="both"/>
        <w:rPr>
          <w:sz w:val="27"/>
          <w:szCs w:val="27"/>
        </w:rPr>
      </w:pPr>
      <w:r>
        <w:rPr>
          <w:rFonts w:ascii="Times New Roman" w:eastAsia="Times New Roman" w:hAnsi="Times New Roman" w:cs="Times New Roman"/>
          <w:sz w:val="27"/>
          <w:szCs w:val="27"/>
        </w:rPr>
        <w:t>- копией выписки ЕГРЮЛ МБУК «СКМ»,</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свидетельства ИНН ОРГН,</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копией устава, документов об основании и реорганизации музея;</w:t>
      </w:r>
    </w:p>
    <w:p>
      <w:pPr>
        <w:spacing w:before="0" w:after="0"/>
        <w:ind w:firstLine="567"/>
        <w:jc w:val="both"/>
        <w:rPr>
          <w:sz w:val="27"/>
          <w:szCs w:val="27"/>
        </w:rPr>
      </w:pPr>
      <w:r>
        <w:rPr>
          <w:rFonts w:ascii="Times New Roman" w:eastAsia="Times New Roman" w:hAnsi="Times New Roman" w:cs="Times New Roman"/>
          <w:sz w:val="27"/>
          <w:szCs w:val="27"/>
        </w:rPr>
        <w:t>- копией документов о назначении на должность, должностного регламента, тубового договора;</w:t>
      </w:r>
    </w:p>
    <w:p>
      <w:pPr>
        <w:spacing w:before="0" w:after="0"/>
        <w:ind w:firstLine="567"/>
        <w:jc w:val="both"/>
        <w:rPr>
          <w:sz w:val="27"/>
          <w:szCs w:val="27"/>
        </w:rPr>
      </w:pPr>
      <w:r>
        <w:rPr>
          <w:rFonts w:ascii="Times New Roman" w:eastAsia="Times New Roman" w:hAnsi="Times New Roman" w:cs="Times New Roman"/>
          <w:sz w:val="27"/>
          <w:szCs w:val="27"/>
        </w:rPr>
        <w:t>- и другими материалами дела.</w:t>
      </w:r>
    </w:p>
    <w:p>
      <w:pPr>
        <w:spacing w:before="0" w:after="0"/>
        <w:ind w:firstLine="567"/>
        <w:jc w:val="both"/>
        <w:rPr>
          <w:sz w:val="27"/>
          <w:szCs w:val="27"/>
        </w:rPr>
      </w:pPr>
      <w:r>
        <w:rPr>
          <w:rFonts w:ascii="Times New Roman" w:eastAsia="Times New Roman" w:hAnsi="Times New Roman" w:cs="Times New Roman"/>
          <w:sz w:val="27"/>
          <w:szCs w:val="27"/>
        </w:rPr>
        <w:t>Оценивая в совокупности представленные доказательства, мировой судья признаёт их относимыми, допустимыми и достоверными, полученными с соблюдением требований КоАП РФ и нашедшими своё объективное подтверждение в ходе судебного разбирательства.</w:t>
      </w:r>
    </w:p>
    <w:p>
      <w:pPr>
        <w:spacing w:before="0" w:after="0"/>
        <w:ind w:firstLine="567"/>
        <w:jc w:val="both"/>
        <w:rPr>
          <w:sz w:val="27"/>
          <w:szCs w:val="27"/>
        </w:rPr>
      </w:pPr>
      <w:r>
        <w:rPr>
          <w:rFonts w:ascii="Times New Roman" w:eastAsia="Times New Roman" w:hAnsi="Times New Roman" w:cs="Times New Roman"/>
          <w:sz w:val="27"/>
          <w:szCs w:val="27"/>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pPr>
        <w:spacing w:before="0" w:after="0"/>
        <w:ind w:firstLine="567"/>
        <w:jc w:val="both"/>
        <w:rPr>
          <w:sz w:val="27"/>
          <w:szCs w:val="27"/>
        </w:rPr>
      </w:pPr>
      <w:r>
        <w:rPr>
          <w:rFonts w:ascii="Times New Roman" w:eastAsia="Times New Roman" w:hAnsi="Times New Roman" w:cs="Times New Roman"/>
          <w:sz w:val="27"/>
          <w:szCs w:val="27"/>
        </w:rPr>
        <w:t>Каких-либо нарушений при составлении постановления о возбуждении дела об административном правонарушении, мировым судьей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w:t>
      </w:r>
    </w:p>
    <w:p>
      <w:pPr>
        <w:spacing w:before="0" w:after="0"/>
        <w:ind w:firstLine="567"/>
        <w:jc w:val="both"/>
        <w:rPr>
          <w:sz w:val="27"/>
          <w:szCs w:val="27"/>
        </w:rPr>
      </w:pPr>
      <w:r>
        <w:rPr>
          <w:rFonts w:ascii="Times New Roman" w:eastAsia="Times New Roman" w:hAnsi="Times New Roman" w:cs="Times New Roman"/>
          <w:sz w:val="27"/>
          <w:szCs w:val="27"/>
        </w:rPr>
        <w:t xml:space="preserve">В соответствии со ст.2.4 КоАП РФ к административной ответственности подлежит должностное лицо в случае совершения им административного </w:t>
      </w:r>
      <w:r>
        <w:rPr>
          <w:rFonts w:ascii="Times New Roman" w:eastAsia="Times New Roman" w:hAnsi="Times New Roman" w:cs="Times New Roman"/>
          <w:sz w:val="27"/>
          <w:szCs w:val="27"/>
        </w:rPr>
        <w:t>правонарушения в связи с неисполнением либо ненадлежащим исполнением своих служебных обязанностей.</w:t>
      </w:r>
    </w:p>
    <w:p>
      <w:pPr>
        <w:spacing w:before="0" w:after="0"/>
        <w:ind w:firstLine="567"/>
        <w:jc w:val="both"/>
        <w:rPr>
          <w:sz w:val="27"/>
          <w:szCs w:val="27"/>
        </w:rPr>
      </w:pPr>
      <w:r>
        <w:rPr>
          <w:rFonts w:ascii="Times New Roman" w:eastAsia="Times New Roman" w:hAnsi="Times New Roman" w:cs="Times New Roman"/>
          <w:sz w:val="27"/>
          <w:szCs w:val="27"/>
        </w:rPr>
        <w:t xml:space="preserve">Действия должностного лица директора </w:t>
      </w:r>
      <w:r>
        <w:rPr>
          <w:rFonts w:ascii="Times New Roman" w:eastAsia="Times New Roman" w:hAnsi="Times New Roman" w:cs="Times New Roman"/>
          <w:sz w:val="27"/>
          <w:szCs w:val="27"/>
        </w:rPr>
        <w:t xml:space="preserve">МБУК «СКМ» </w:t>
      </w:r>
      <w:r>
        <w:rPr>
          <w:rStyle w:val="cat-FIOgrp-30rplc-16"/>
          <w:rFonts w:ascii="Times New Roman" w:eastAsia="Times New Roman" w:hAnsi="Times New Roman" w:cs="Times New Roman"/>
          <w:sz w:val="27"/>
          <w:szCs w:val="27"/>
        </w:rPr>
        <w:t>фио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подлежат квалификации по ч. 1 ст. 20.35 КоАП РФ как нарушение требований к антитеррористической защищенности объектов (территорий), за исключением случаев, предусмотренных </w:t>
      </w:r>
      <w:hyperlink w:anchor="sub_203502" w:history="1">
        <w:r>
          <w:rPr>
            <w:rFonts w:ascii="Times New Roman" w:eastAsia="Times New Roman" w:hAnsi="Times New Roman" w:cs="Times New Roman"/>
            <w:color w:val="0000EE"/>
            <w:sz w:val="27"/>
            <w:szCs w:val="27"/>
          </w:rPr>
          <w:t>частью 2</w:t>
        </w:r>
      </w:hyperlink>
      <w:r>
        <w:rPr>
          <w:rFonts w:ascii="Times New Roman" w:eastAsia="Times New Roman" w:hAnsi="Times New Roman" w:cs="Times New Roman"/>
          <w:sz w:val="27"/>
          <w:szCs w:val="27"/>
        </w:rPr>
        <w:t xml:space="preserve"> настоящей статьи, </w:t>
      </w:r>
      <w:hyperlink w:anchor="sub_11151" w:history="1">
        <w:r>
          <w:rPr>
            <w:rFonts w:ascii="Times New Roman" w:eastAsia="Times New Roman" w:hAnsi="Times New Roman" w:cs="Times New Roman"/>
            <w:color w:val="0000EE"/>
            <w:sz w:val="27"/>
            <w:szCs w:val="27"/>
          </w:rPr>
          <w:t>статьями 11.15.1</w:t>
        </w:r>
      </w:hyperlink>
      <w:r>
        <w:rPr>
          <w:rFonts w:ascii="Times New Roman" w:eastAsia="Times New Roman" w:hAnsi="Times New Roman" w:cs="Times New Roman"/>
          <w:sz w:val="27"/>
          <w:szCs w:val="27"/>
        </w:rPr>
        <w:t xml:space="preserve"> и </w:t>
      </w:r>
      <w:hyperlink w:anchor="sub_2030" w:history="1">
        <w:r>
          <w:rPr>
            <w:rFonts w:ascii="Times New Roman" w:eastAsia="Times New Roman" w:hAnsi="Times New Roman" w:cs="Times New Roman"/>
            <w:color w:val="0000EE"/>
            <w:sz w:val="27"/>
            <w:szCs w:val="27"/>
          </w:rPr>
          <w:t>20.30</w:t>
        </w:r>
      </w:hyperlink>
      <w:r>
        <w:rPr>
          <w:rFonts w:ascii="Times New Roman" w:eastAsia="Times New Roman" w:hAnsi="Times New Roman" w:cs="Times New Roman"/>
          <w:sz w:val="27"/>
          <w:szCs w:val="27"/>
        </w:rPr>
        <w:t xml:space="preserve"> настоящего Кодекса, если эти действия не содержат признаков уголовно наказуемого деяния.</w:t>
      </w:r>
    </w:p>
    <w:p>
      <w:pPr>
        <w:spacing w:before="0" w:after="0"/>
        <w:ind w:firstLine="567"/>
        <w:jc w:val="both"/>
        <w:rPr>
          <w:sz w:val="27"/>
          <w:szCs w:val="27"/>
        </w:rPr>
      </w:pPr>
      <w:r>
        <w:rPr>
          <w:rFonts w:ascii="Times New Roman" w:eastAsia="Times New Roman" w:hAnsi="Times New Roman" w:cs="Times New Roman"/>
          <w:sz w:val="27"/>
          <w:szCs w:val="27"/>
        </w:rPr>
        <w:t xml:space="preserve">При назначении административного наказания в соответствии со статьи 4.1 КоАП РФ </w:t>
      </w:r>
      <w:r>
        <w:rPr>
          <w:rFonts w:ascii="Times New Roman" w:eastAsia="Times New Roman" w:hAnsi="Times New Roman" w:cs="Times New Roman"/>
          <w:sz w:val="27"/>
          <w:szCs w:val="27"/>
        </w:rPr>
        <w:t>учитывается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pPr>
        <w:spacing w:before="0" w:after="0"/>
        <w:ind w:firstLine="567"/>
        <w:jc w:val="both"/>
        <w:rPr>
          <w:sz w:val="27"/>
          <w:szCs w:val="27"/>
        </w:rPr>
      </w:pPr>
      <w:r>
        <w:rPr>
          <w:rFonts w:ascii="Times New Roman" w:eastAsia="Times New Roman" w:hAnsi="Times New Roman" w:cs="Times New Roman"/>
          <w:sz w:val="27"/>
          <w:szCs w:val="27"/>
        </w:rPr>
        <w:t xml:space="preserve">Обстоятельством, смягчающим административную ответственность, предусмотренным статьей 4.2 КоАП РФ, мировой судья признает </w:t>
      </w:r>
      <w:r>
        <w:rPr>
          <w:rFonts w:ascii="Times New Roman" w:eastAsia="Times New Roman" w:hAnsi="Times New Roman" w:cs="Times New Roman"/>
          <w:sz w:val="27"/>
          <w:szCs w:val="27"/>
        </w:rPr>
        <w:t xml:space="preserve">признание вины, </w:t>
      </w:r>
      <w:r>
        <w:rPr>
          <w:rFonts w:ascii="Times New Roman" w:eastAsia="Times New Roman" w:hAnsi="Times New Roman" w:cs="Times New Roman"/>
          <w:sz w:val="27"/>
          <w:szCs w:val="27"/>
        </w:rPr>
        <w:t>раскаяние лица, совершившего административное правонарушение</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Обстоятельств, отягчающих административную ответственность, предусмотренных статьей 4.3 КоАП РФ, мировым судьей не установлено.</w:t>
      </w:r>
    </w:p>
    <w:p>
      <w:pPr>
        <w:spacing w:before="0" w:after="0"/>
        <w:ind w:firstLine="567"/>
        <w:jc w:val="both"/>
        <w:rPr>
          <w:sz w:val="27"/>
          <w:szCs w:val="27"/>
        </w:rPr>
      </w:pPr>
      <w:r>
        <w:rPr>
          <w:rFonts w:ascii="Times New Roman" w:eastAsia="Times New Roman" w:hAnsi="Times New Roman" w:cs="Times New Roman"/>
          <w:sz w:val="27"/>
          <w:szCs w:val="27"/>
        </w:rPr>
        <w:t>Обстоятельств, исключающих производство по делу об административном правонарушении и указанных в статьях 24.5 КоАП РФ, а также обстоятельств, исключающих возможность рассмотрения дела, предусмотренных статьями 29.2 КоАП РФ, не установлено.</w:t>
      </w:r>
    </w:p>
    <w:p>
      <w:pPr>
        <w:spacing w:before="0" w:after="0"/>
        <w:ind w:firstLine="567"/>
        <w:jc w:val="both"/>
        <w:rPr>
          <w:sz w:val="27"/>
          <w:szCs w:val="27"/>
        </w:rPr>
      </w:pPr>
      <w:r>
        <w:rPr>
          <w:rFonts w:ascii="Times New Roman" w:eastAsia="Times New Roman" w:hAnsi="Times New Roman" w:cs="Times New Roman"/>
          <w:sz w:val="27"/>
          <w:szCs w:val="27"/>
        </w:rPr>
        <w:t>Согласно статье 3.1 КоАП РФ, административное наказание применяется в целях предупреждения совершения новых правонарушений, как самим правонарушителем, так и другими лицами.</w:t>
      </w:r>
    </w:p>
    <w:p>
      <w:pPr>
        <w:spacing w:before="0" w:after="0"/>
        <w:ind w:firstLine="567"/>
        <w:jc w:val="both"/>
        <w:rPr>
          <w:sz w:val="27"/>
          <w:szCs w:val="27"/>
        </w:rPr>
      </w:pPr>
      <w:r>
        <w:rPr>
          <w:rFonts w:ascii="Times New Roman" w:eastAsia="Times New Roman" w:hAnsi="Times New Roman" w:cs="Times New Roman"/>
          <w:sz w:val="27"/>
          <w:szCs w:val="27"/>
        </w:rPr>
        <w:t xml:space="preserve">На основании изложенного, учитывая отношение </w:t>
      </w:r>
      <w:r>
        <w:rPr>
          <w:rStyle w:val="cat-FIOgrp-30rplc-17"/>
          <w:rFonts w:ascii="Times New Roman" w:eastAsia="Times New Roman" w:hAnsi="Times New Roman" w:cs="Times New Roman"/>
          <w:sz w:val="27"/>
          <w:szCs w:val="27"/>
        </w:rPr>
        <w:t>фио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к совершенному правонарушению, мировой судья принимает во внимание обстоятельства совершения виновным лицом административного правонарушения, наличие обстоятельства смягчающего административную ответственность, отсутствие обстоятельств отягчающих административную ответственность, и полагает необходимым назначить административное наказание в виде административного штрафа, поскольку данный вид наказания является справедливым и соразмерным содеянному.</w:t>
      </w:r>
    </w:p>
    <w:p>
      <w:pPr>
        <w:spacing w:before="0" w:after="0"/>
        <w:ind w:firstLine="567"/>
        <w:jc w:val="both"/>
        <w:rPr>
          <w:sz w:val="27"/>
          <w:szCs w:val="27"/>
        </w:rPr>
      </w:pPr>
      <w:r>
        <w:rPr>
          <w:rFonts w:ascii="Times New Roman" w:eastAsia="Times New Roman" w:hAnsi="Times New Roman" w:cs="Times New Roman"/>
          <w:sz w:val="27"/>
          <w:szCs w:val="27"/>
        </w:rPr>
        <w:t>На основании изложенного и руководствуясь ст.ст. 29.9, 29.10 Кодекса Российской Федерации об административных правонарушениях, мировой судья</w:t>
      </w:r>
    </w:p>
    <w:p>
      <w:pPr>
        <w:spacing w:before="0" w:after="0"/>
        <w:ind w:firstLine="567"/>
        <w:jc w:val="center"/>
        <w:rPr>
          <w:sz w:val="27"/>
          <w:szCs w:val="27"/>
        </w:rPr>
      </w:pPr>
    </w:p>
    <w:p>
      <w:pPr>
        <w:spacing w:before="0" w:after="0"/>
        <w:ind w:firstLine="567"/>
        <w:jc w:val="center"/>
        <w:rPr>
          <w:sz w:val="27"/>
          <w:szCs w:val="27"/>
        </w:rPr>
      </w:pPr>
      <w:r>
        <w:rPr>
          <w:rFonts w:ascii="Times New Roman" w:eastAsia="Times New Roman" w:hAnsi="Times New Roman" w:cs="Times New Roman"/>
          <w:sz w:val="27"/>
          <w:szCs w:val="27"/>
        </w:rPr>
        <w:t>ПОСТАНОВИЛ:</w:t>
      </w:r>
    </w:p>
    <w:p>
      <w:pPr>
        <w:spacing w:before="0" w:after="0"/>
        <w:ind w:firstLine="567"/>
        <w:jc w:val="both"/>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 xml:space="preserve">Признать </w:t>
      </w:r>
      <w:r>
        <w:rPr>
          <w:rFonts w:ascii="Times New Roman" w:eastAsia="Times New Roman" w:hAnsi="Times New Roman" w:cs="Times New Roman"/>
          <w:sz w:val="27"/>
          <w:szCs w:val="27"/>
        </w:rPr>
        <w:t xml:space="preserve">должное лицо- </w:t>
      </w:r>
      <w:r>
        <w:rPr>
          <w:rFonts w:ascii="Times New Roman" w:eastAsia="Times New Roman" w:hAnsi="Times New Roman" w:cs="Times New Roman"/>
          <w:sz w:val="27"/>
          <w:szCs w:val="27"/>
        </w:rPr>
        <w:t xml:space="preserve">директора </w:t>
      </w:r>
      <w:r>
        <w:rPr>
          <w:rStyle w:val="cat-UserDefinedgrp-51rplc-18"/>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Селянину Марину Юрьевну</w:t>
      </w:r>
      <w:r>
        <w:rPr>
          <w:rFonts w:ascii="Times New Roman" w:eastAsia="Times New Roman" w:hAnsi="Times New Roman" w:cs="Times New Roman"/>
          <w:sz w:val="27"/>
          <w:szCs w:val="27"/>
        </w:rPr>
        <w:t xml:space="preserve"> виновной в совершении административного правонарушения, предусмотренного ч.1 ст. 20.35 Кодекса Российской Федерации об административных правонарушениях, и назначить административное наказание в виде административного штрафа в размере 30</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000 (</w:t>
      </w:r>
      <w:r>
        <w:rPr>
          <w:rFonts w:ascii="Times New Roman" w:eastAsia="Times New Roman" w:hAnsi="Times New Roman" w:cs="Times New Roman"/>
          <w:sz w:val="27"/>
          <w:szCs w:val="27"/>
        </w:rPr>
        <w:t>т</w:t>
      </w:r>
      <w:r>
        <w:rPr>
          <w:rFonts w:ascii="Times New Roman" w:eastAsia="Times New Roman" w:hAnsi="Times New Roman" w:cs="Times New Roman"/>
          <w:sz w:val="27"/>
          <w:szCs w:val="27"/>
        </w:rPr>
        <w:t>ридцать тысяч) рублей 00 копеек.</w:t>
      </w:r>
    </w:p>
    <w:p>
      <w:pPr>
        <w:spacing w:before="0" w:after="0"/>
        <w:ind w:firstLine="567"/>
        <w:jc w:val="both"/>
        <w:rPr>
          <w:sz w:val="27"/>
          <w:szCs w:val="27"/>
        </w:rPr>
      </w:pPr>
      <w:r>
        <w:rPr>
          <w:rFonts w:ascii="Times New Roman" w:eastAsia="Times New Roman" w:hAnsi="Times New Roman" w:cs="Times New Roman"/>
          <w:sz w:val="27"/>
          <w:szCs w:val="27"/>
        </w:rPr>
        <w:t xml:space="preserve">Административный штраф перечислять на реквизиты: получатель: УФК по Ханты-Мансийскому автономному округу - Югре (Департамент </w:t>
      </w:r>
      <w:r>
        <w:rPr>
          <w:rFonts w:ascii="Times New Roman" w:eastAsia="Times New Roman" w:hAnsi="Times New Roman" w:cs="Times New Roman"/>
          <w:sz w:val="27"/>
          <w:szCs w:val="27"/>
        </w:rPr>
        <w:t>административного обеспечения Ханты-Мансийского автономного округа-Югры л/с 04872D08080), Банк: РКЦ г. Ханты-Мансийска//УФК по Ханты-Мансийскому автономному округу-Югре г. Ханты-Мансийск, счет получателя(номер казначейского счета): 03100643000000018700, банковский счет, входящий в состав единого казначейского счета (ЕКС)40102810245370000007, БИК 007162163, ОКТМО 71876000, ИНН 8601073664, КПП 860101001, КБК 720</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116</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012</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030</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190 00140, УИН 0412365400685017262520183.</w:t>
      </w:r>
    </w:p>
    <w:p>
      <w:pPr>
        <w:spacing w:before="0" w:after="0"/>
        <w:ind w:firstLine="567"/>
        <w:jc w:val="both"/>
        <w:rPr>
          <w:sz w:val="27"/>
          <w:szCs w:val="27"/>
        </w:rPr>
      </w:pPr>
      <w:r>
        <w:rPr>
          <w:rFonts w:ascii="Times New Roman" w:eastAsia="Times New Roman" w:hAnsi="Times New Roman" w:cs="Times New Roman"/>
          <w:sz w:val="27"/>
          <w:szCs w:val="27"/>
        </w:rPr>
        <w:t>Квитанцию об уплате штрафа необходимо предоставить в каб. 101 по ул. Гагарина, д. 9, г. Сургута либо направить на электронный адрес: Surgut13@mirsud86.ru не позднее дня, следующего за истечением срока добровольной уплаты штрафа, во избежание направления документов о принудительном исполнении постановления.</w:t>
      </w:r>
    </w:p>
    <w:p>
      <w:pPr>
        <w:spacing w:before="0" w:after="0"/>
        <w:ind w:firstLine="567"/>
        <w:jc w:val="both"/>
        <w:rPr>
          <w:sz w:val="27"/>
          <w:szCs w:val="27"/>
        </w:rPr>
      </w:pPr>
      <w:r>
        <w:rPr>
          <w:rFonts w:ascii="Times New Roman" w:eastAsia="Times New Roman" w:hAnsi="Times New Roman" w:cs="Times New Roman"/>
          <w:sz w:val="27"/>
          <w:szCs w:val="27"/>
        </w:rPr>
        <w:t>Разъяснить, что в соответствии с ч.1 ст.32.2 КоАП РФ неуплата штрафа в течение шестидесяти дней с момента вступления постановления в законную силу влечет административную ответственность, предусмотренную ч.1 ст. 20.25 Кодекса Российской Федерации об административных правонарушениях,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административного ареста на срок до пятнадцати суток, либо обязательных работ на срок до пятидесяти часов.</w:t>
      </w:r>
    </w:p>
    <w:p>
      <w:pPr>
        <w:spacing w:before="0" w:after="0"/>
        <w:ind w:firstLine="567"/>
        <w:jc w:val="both"/>
        <w:rPr>
          <w:sz w:val="27"/>
          <w:szCs w:val="27"/>
        </w:rPr>
      </w:pPr>
      <w:r>
        <w:rPr>
          <w:rFonts w:ascii="Times New Roman" w:eastAsia="Times New Roman" w:hAnsi="Times New Roman" w:cs="Times New Roman"/>
          <w:sz w:val="27"/>
          <w:szCs w:val="27"/>
        </w:rPr>
        <w:t>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муниципальных платежах, по истечении срока, указанного в ч.1 ст.32.2 КоАП РФ, судья вынесший постановление, направляет в течении 10 суток постановление о назначении административного штрафа с отметкой о его не уплате судебному приставу исполнителю для исполнения в порядке, предусмотренном федеральным законодательством.</w:t>
      </w:r>
    </w:p>
    <w:p>
      <w:pPr>
        <w:spacing w:before="0" w:after="0"/>
        <w:ind w:firstLine="567"/>
        <w:jc w:val="both"/>
        <w:rPr>
          <w:sz w:val="27"/>
          <w:szCs w:val="27"/>
        </w:rPr>
      </w:pPr>
      <w:r>
        <w:rPr>
          <w:rFonts w:ascii="Times New Roman" w:eastAsia="Times New Roman" w:hAnsi="Times New Roman" w:cs="Times New Roman"/>
          <w:sz w:val="27"/>
          <w:szCs w:val="27"/>
        </w:rPr>
        <w:t xml:space="preserve">Постановление может быть обжаловано в Сургутский городской суд Ханты-Мансийского автономного округа-Югры в течение 10 дней со дня вручения или получения копии постановления с подачей жалобы </w:t>
      </w:r>
      <w:r>
        <w:rPr>
          <w:rFonts w:ascii="Times New Roman" w:eastAsia="Times New Roman" w:hAnsi="Times New Roman" w:cs="Times New Roman"/>
          <w:sz w:val="27"/>
          <w:szCs w:val="27"/>
        </w:rPr>
        <w:t>через мирового судью</w:t>
      </w:r>
      <w:r>
        <w:rPr>
          <w:rFonts w:ascii="Times New Roman" w:eastAsia="Times New Roman" w:hAnsi="Times New Roman" w:cs="Times New Roman"/>
          <w:sz w:val="27"/>
          <w:szCs w:val="27"/>
        </w:rPr>
        <w:t xml:space="preserve"> судебного участка № </w:t>
      </w:r>
      <w:r>
        <w:rPr>
          <w:rFonts w:ascii="Times New Roman" w:eastAsia="Times New Roman" w:hAnsi="Times New Roman" w:cs="Times New Roman"/>
          <w:sz w:val="27"/>
          <w:szCs w:val="27"/>
        </w:rPr>
        <w:t>13</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Сургутского</w:t>
      </w:r>
      <w:r>
        <w:rPr>
          <w:rFonts w:ascii="Times New Roman" w:eastAsia="Times New Roman" w:hAnsi="Times New Roman" w:cs="Times New Roman"/>
          <w:sz w:val="27"/>
          <w:szCs w:val="27"/>
        </w:rPr>
        <w:t xml:space="preserve"> судебного района города окружного значения Сургута Ханты-Мансийского автономного округа – Югры.</w:t>
      </w:r>
    </w:p>
    <w:p>
      <w:pPr>
        <w:spacing w:before="0" w:after="0"/>
        <w:ind w:firstLine="708"/>
        <w:rPr>
          <w:sz w:val="27"/>
          <w:szCs w:val="27"/>
        </w:rPr>
      </w:pPr>
    </w:p>
    <w:p>
      <w:pPr>
        <w:spacing w:before="0" w:after="0"/>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Д.Б. Айткулова</w:t>
      </w:r>
    </w:p>
    <w:p>
      <w:pPr>
        <w:spacing w:before="0" w:after="0"/>
        <w:jc w:val="both"/>
        <w:rPr>
          <w:sz w:val="26"/>
          <w:szCs w:val="26"/>
        </w:rPr>
      </w:pPr>
      <w:r>
        <w:rPr>
          <w:rFonts w:ascii="Times New Roman" w:eastAsia="Times New Roman" w:hAnsi="Times New Roman" w:cs="Times New Roman"/>
          <w:sz w:val="26"/>
          <w:szCs w:val="26"/>
        </w:rPr>
        <w:t xml:space="preserve">Копия верна </w:t>
      </w:r>
    </w:p>
    <w:p>
      <w:pPr>
        <w:spacing w:before="0" w:after="0"/>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Д.Б. Айткулова</w:t>
      </w:r>
    </w:p>
    <w:p>
      <w:pPr>
        <w:spacing w:before="0" w:after="0"/>
        <w:jc w:val="both"/>
        <w:rPr>
          <w:sz w:val="26"/>
          <w:szCs w:val="26"/>
        </w:rPr>
      </w:pPr>
      <w:r>
        <w:rPr>
          <w:rFonts w:ascii="Times New Roman" w:eastAsia="Times New Roman" w:hAnsi="Times New Roman" w:cs="Times New Roman"/>
          <w:sz w:val="26"/>
          <w:szCs w:val="26"/>
        </w:rPr>
        <w:t>29</w:t>
      </w:r>
      <w:r>
        <w:rPr>
          <w:rFonts w:ascii="Times New Roman" w:eastAsia="Times New Roman" w:hAnsi="Times New Roman" w:cs="Times New Roman"/>
          <w:sz w:val="26"/>
          <w:szCs w:val="26"/>
        </w:rPr>
        <w:t xml:space="preserve"> октября 2025 года</w:t>
      </w:r>
    </w:p>
    <w:p>
      <w:pPr>
        <w:spacing w:before="0" w:after="0"/>
        <w:ind w:firstLine="708"/>
        <w:rPr>
          <w:sz w:val="27"/>
          <w:szCs w:val="27"/>
        </w:rPr>
      </w:pPr>
    </w:p>
    <w:sectPr>
      <w:headerReference w:type="default" r:id="rId4"/>
      <w:footerReference w:type="default" r:id="rId5"/>
      <w:pgMar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Ind w:w="1196" w:type="dxa"/>
      <w:tblBorders>
        <w:top w:val="single" w:sz="6" w:space="0" w:color="FFFFFF"/>
        <w:left w:val="single" w:sz="6" w:space="0" w:color="FFFFFF"/>
        <w:bottom w:val="single" w:sz="6" w:space="0" w:color="FFFFFF"/>
        <w:right w:val="single" w:sz="6" w:space="0" w:color="FFFFFF"/>
      </w:tblBorders>
      <w:tblCellMar>
        <w:top w:w="0" w:type="dxa"/>
        <w:left w:w="0" w:type="dxa"/>
        <w:bottom w:w="0" w:type="dxa"/>
        <w:right w:w="0" w:type="dxa"/>
      </w:tblCellMar>
    </w:tblPr>
    <w:tblGrid>
      <w:gridCol w:w="1451"/>
      <w:gridCol w:w="1637"/>
    </w:tblGrid>
    <w:tr>
      <w:tblPrEx>
        <w:tblInd w:w="1196" w:type="dxa"/>
        <w:tblBorders>
          <w:top w:val="single" w:sz="6" w:space="0" w:color="FFFFFF"/>
          <w:left w:val="single" w:sz="6" w:space="0" w:color="FFFFFF"/>
          <w:bottom w:val="single" w:sz="6" w:space="0" w:color="FFFFFF"/>
          <w:right w:val="single" w:sz="6" w:space="0" w:color="FFFFFF"/>
        </w:tblBorders>
        <w:tblCellMar>
          <w:top w:w="0" w:type="dxa"/>
          <w:left w:w="0" w:type="dxa"/>
          <w:bottom w:w="0" w:type="dxa"/>
          <w:right w:w="0" w:type="dxa"/>
        </w:tblCellMar>
      </w:tblPrEx>
      <w:trPr>
        <w:trHeight w:hRule="exact" w:val="57"/>
      </w:trPr>
      <w:tc>
        <w:tcPr>
          <w:tcW w:w="689" w:type="dxa"/>
          <w:tcBorders>
            <w:right w:val="single" w:sz="6" w:space="0" w:color="FFFFFF"/>
          </w:tcBorders>
          <w:noWrap w:val="0"/>
          <w:tcMar>
            <w:top w:w="8" w:type="dxa"/>
            <w:left w:w="108" w:type="dxa"/>
            <w:bottom w:w="8" w:type="dxa"/>
            <w:right w:w="108" w:type="dxa"/>
          </w:tcMar>
          <w:vAlign w:val="top"/>
          <w:hideMark/>
        </w:tcPr>
        <w:p>
          <w:pPr>
            <w:spacing w:before="0" w:after="0"/>
            <w:rPr>
              <w:b w:val="0"/>
              <w:bCs w:val="0"/>
              <w:i w:val="0"/>
              <w:iCs w:val="0"/>
              <w:smallCaps w:val="0"/>
              <w:color w:val="000000"/>
            </w:rPr>
          </w:pPr>
          <w:r>
            <w:rPr>
              <w:rFonts w:ascii="Times New Roman" w:eastAsia="Times New Roman" w:hAnsi="Times New Roman" w:cs="Times New Roman"/>
              <w:b w:val="0"/>
              <w:bCs w:val="0"/>
              <w:i w:val="0"/>
              <w:iCs w:val="0"/>
              <w:smallCaps w:val="0"/>
              <w:color w:val="000000"/>
            </w:rPr>
            <w:t>http://sr-srg-pkms1/xlp9/</w:t>
          </w:r>
        </w:p>
      </w:tc>
      <w:tc>
        <w:tcPr>
          <w:tcW w:w="693" w:type="dxa"/>
          <w:tcBorders>
            <w:left w:val="single" w:sz="6" w:space="0" w:color="FFFFFF"/>
          </w:tcBorders>
          <w:noWrap w:val="0"/>
          <w:tcMar>
            <w:top w:w="8" w:type="dxa"/>
            <w:left w:w="108" w:type="dxa"/>
            <w:bottom w:w="8" w:type="dxa"/>
            <w:right w:w="108" w:type="dxa"/>
          </w:tcMar>
          <w:vAlign w:val="top"/>
          <w:hideMark/>
        </w:tcPr>
        <w:p>
          <w:pPr>
            <w:spacing w:before="0" w:after="0"/>
            <w:rPr>
              <w:b w:val="0"/>
              <w:bCs w:val="0"/>
              <w:i w:val="0"/>
              <w:iCs w:val="0"/>
              <w:smallCaps w:val="0"/>
              <w:color w:val="000000"/>
            </w:rPr>
          </w:pPr>
          <w:r>
            <w:rPr>
              <w:rFonts w:ascii="Times New Roman" w:eastAsia="Times New Roman" w:hAnsi="Times New Roman" w:cs="Times New Roman"/>
              <w:b w:val="0"/>
              <w:bCs w:val="0"/>
              <w:i w:val="0"/>
              <w:iCs w:val="0"/>
              <w:smallCaps w:val="0"/>
              <w:color w:val="000000"/>
            </w:rPr>
            <w:t>069de058-4b46-44a4-a14f-4ad8a3864cc7</w:t>
          </w:r>
        </w:p>
      </w:tc>
    </w:tr>
  </w:tbl>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FIOgrp-30rplc-0">
    <w:name w:val="cat-FIO grp-30 rplc-0"/>
    <w:basedOn w:val="DefaultParagraphFont"/>
  </w:style>
  <w:style w:type="character" w:customStyle="1" w:styleId="cat-OrganizationNamegrp-41rplc-1">
    <w:name w:val="cat-OrganizationName grp-41 rplc-1"/>
    <w:basedOn w:val="DefaultParagraphFont"/>
  </w:style>
  <w:style w:type="character" w:customStyle="1" w:styleId="cat-UserDefinedgrp-51rplc-2">
    <w:name w:val="cat-UserDefined grp-51 rplc-2"/>
    <w:basedOn w:val="DefaultParagraphFont"/>
  </w:style>
  <w:style w:type="character" w:customStyle="1" w:styleId="cat-FIOgrp-32rplc-3">
    <w:name w:val="cat-FIO grp-32 rplc-3"/>
    <w:basedOn w:val="DefaultParagraphFont"/>
  </w:style>
  <w:style w:type="character" w:customStyle="1" w:styleId="cat-ExternalSystemDefinedgrp-50rplc-4">
    <w:name w:val="cat-ExternalSystemDefined grp-50 rplc-4"/>
    <w:basedOn w:val="DefaultParagraphFont"/>
  </w:style>
  <w:style w:type="character" w:customStyle="1" w:styleId="cat-PassportDatagrp-39rplc-5">
    <w:name w:val="cat-PassportData grp-39 rplc-5"/>
    <w:basedOn w:val="DefaultParagraphFont"/>
  </w:style>
  <w:style w:type="character" w:customStyle="1" w:styleId="cat-UserDefinedgrp-52rplc-6">
    <w:name w:val="cat-UserDefined grp-52 rplc-6"/>
    <w:basedOn w:val="DefaultParagraphFont"/>
  </w:style>
  <w:style w:type="character" w:customStyle="1" w:styleId="cat-PassportDatagrp-40rplc-7">
    <w:name w:val="cat-PassportData grp-40 rplc-7"/>
    <w:basedOn w:val="DefaultParagraphFont"/>
  </w:style>
  <w:style w:type="character" w:customStyle="1" w:styleId="cat-ExternalSystemDefinedgrp-49rplc-8">
    <w:name w:val="cat-ExternalSystemDefined grp-49 rplc-8"/>
    <w:basedOn w:val="DefaultParagraphFont"/>
  </w:style>
  <w:style w:type="character" w:customStyle="1" w:styleId="cat-ExternalSystemDefinedgrp-48rplc-9">
    <w:name w:val="cat-ExternalSystemDefined grp-48 rplc-9"/>
    <w:basedOn w:val="DefaultParagraphFont"/>
  </w:style>
  <w:style w:type="character" w:customStyle="1" w:styleId="cat-FIOgrp-33rplc-10">
    <w:name w:val="cat-FIO grp-33 rplc-10"/>
    <w:basedOn w:val="DefaultParagraphFont"/>
  </w:style>
  <w:style w:type="character" w:customStyle="1" w:styleId="cat-FIOgrp-32rplc-11">
    <w:name w:val="cat-FIO grp-32 rplc-11"/>
    <w:basedOn w:val="DefaultParagraphFont"/>
  </w:style>
  <w:style w:type="character" w:customStyle="1" w:styleId="cat-OrganizationNamegrp-41rplc-12">
    <w:name w:val="cat-OrganizationName grp-41 rplc-12"/>
    <w:basedOn w:val="DefaultParagraphFont"/>
  </w:style>
  <w:style w:type="character" w:customStyle="1" w:styleId="cat-Dategrp-19rplc-13">
    <w:name w:val="cat-Date grp-19 rplc-13"/>
    <w:basedOn w:val="DefaultParagraphFont"/>
  </w:style>
  <w:style w:type="character" w:customStyle="1" w:styleId="cat-FIOgrp-33rplc-14">
    <w:name w:val="cat-FIO grp-33 rplc-14"/>
    <w:basedOn w:val="DefaultParagraphFont"/>
  </w:style>
  <w:style w:type="character" w:customStyle="1" w:styleId="cat-FIOgrp-33rplc-15">
    <w:name w:val="cat-FIO grp-33 rplc-15"/>
    <w:basedOn w:val="DefaultParagraphFont"/>
  </w:style>
  <w:style w:type="character" w:customStyle="1" w:styleId="cat-FIOgrp-30rplc-16">
    <w:name w:val="cat-FIO grp-30 rplc-16"/>
    <w:basedOn w:val="DefaultParagraphFont"/>
  </w:style>
  <w:style w:type="character" w:customStyle="1" w:styleId="cat-FIOgrp-30rplc-17">
    <w:name w:val="cat-FIO grp-30 rplc-17"/>
    <w:basedOn w:val="DefaultParagraphFont"/>
  </w:style>
  <w:style w:type="character" w:customStyle="1" w:styleId="cat-UserDefinedgrp-51rplc-18">
    <w:name w:val="cat-UserDefined grp-51 rplc-18"/>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